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80" w:firstLine="0"/>
        <w:contextualSpacing w:val="0"/>
        <w:jc w:val="center"/>
      </w:pPr>
      <w:r w:rsidDel="00000000" w:rsidR="00000000" w:rsidRPr="00000000">
        <w:rPr>
          <w:rtl w:val="0"/>
        </w:rPr>
        <w:t xml:space="preserve">RED DEER CATHOLIC REGIONAL SCHOOLS</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u w:val="single"/>
          <w:rtl w:val="0"/>
        </w:rPr>
        <w:t xml:space="preserve">Regular Meeting</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t xml:space="preserve">August 25, 2015</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t xml:space="preserve">A  G  E  N  D  A</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CALL TO ORDER:  </w:t>
      </w:r>
      <w:r w:rsidDel="00000000" w:rsidR="00000000" w:rsidRPr="00000000">
        <w:rPr>
          <w:b w:val="1"/>
          <w:u w:val="single"/>
          <w:rtl w:val="0"/>
        </w:rPr>
        <w:t xml:space="preserve">6:30 P.M.</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OPENING PRAYER:  Dave Khatib</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firstLine="0"/>
        <w:contextualSpacing w:val="1"/>
        <w:rPr/>
      </w:pPr>
      <w:r w:rsidDel="00000000" w:rsidR="00000000" w:rsidRPr="00000000">
        <w:rPr>
          <w:rFonts w:ascii="Arial" w:cs="Arial" w:eastAsia="Arial" w:hAnsi="Arial"/>
          <w:sz w:val="24"/>
          <w:szCs w:val="24"/>
          <w:rtl w:val="0"/>
        </w:rPr>
        <w:t xml:space="preserve">APPROVAL OF AGENDA </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firstLine="0"/>
        <w:contextualSpacing w:val="1"/>
        <w:rPr/>
      </w:pPr>
      <w:r w:rsidDel="00000000" w:rsidR="00000000" w:rsidRPr="00000000">
        <w:rPr>
          <w:rFonts w:ascii="Arial" w:cs="Arial" w:eastAsia="Arial" w:hAnsi="Arial"/>
          <w:sz w:val="24"/>
          <w:szCs w:val="24"/>
          <w:rtl w:val="0"/>
        </w:rPr>
        <w:t xml:space="preserve">ADOPTION OF MINUTES (Regular Meeting of</w:t>
      </w:r>
      <w:r w:rsidDel="00000000" w:rsidR="00000000" w:rsidRPr="00000000">
        <w:rPr>
          <w:rtl w:val="0"/>
        </w:rPr>
        <w:t xml:space="preserve"> June 23,</w:t>
      </w:r>
      <w:r w:rsidDel="00000000" w:rsidR="00000000" w:rsidRPr="00000000">
        <w:rPr>
          <w:rFonts w:ascii="Arial" w:cs="Arial" w:eastAsia="Arial" w:hAnsi="Arial"/>
          <w:sz w:val="24"/>
          <w:szCs w:val="24"/>
          <w:rtl w:val="0"/>
        </w:rPr>
        <w:t xml:space="preserve"> 201</w:t>
      </w:r>
      <w:r w:rsidDel="00000000" w:rsidR="00000000" w:rsidRPr="00000000">
        <w:rPr>
          <w:rtl w:val="0"/>
        </w:rPr>
        <w:t xml:space="preserve">5</w:t>
      </w:r>
      <w:r w:rsidDel="00000000" w:rsidR="00000000" w:rsidRPr="00000000">
        <w:rPr>
          <w:rFonts w:ascii="Arial" w:cs="Arial" w:eastAsia="Arial" w:hAnsi="Arial"/>
          <w:sz w:val="24"/>
          <w:szCs w:val="24"/>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r w:rsidDel="00000000" w:rsidR="00000000" w:rsidRPr="00000000">
        <w:rPr>
          <w:rtl w:val="0"/>
        </w:rPr>
        <w:tab/>
        <w:t xml:space="preserve">3</w:t>
      </w:r>
      <w:r w:rsidDel="00000000" w:rsidR="00000000" w:rsidRPr="00000000">
        <w:rPr>
          <w:rtl w:val="0"/>
        </w:rPr>
        <w:t xml:space="preserve">.</w:t>
        <w:tab/>
        <w:t xml:space="preserve">BOARD SELF-EVALUATION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That the Board approve the Board self-evaluation report as developed at the facilitated workshop of June 19, 2015 and that the Board Chair be authorized to monitor the priorities and suggestions agreed to and bring items forward for Board consideration as deemed appropriate.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APPROVES THE BOARD SELF-EVALUATION REPORT, FOR THE 2014-2015 YEAR, AS DEVELOPED IN THE    BOARD WORKSHOP OF JUNE 19, 2015.</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4.   </w:t>
        <w:tab/>
        <w:t xml:space="preserve">SUPERINTENDENT ANNUAL EVALUATION </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Trustees completed the CEO evaluation for the 2014-2015 year on June 19. A Board motion to accept the evaluation report is now required.</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RECOMMENDATION:  THAT THE BOARD APPROVES THE CEO EVALUATION REPORT AS DEVELOPED IN THE BOARD WORKSHOP OF JUNE 19, 2015 AS AN ACCURATE ACCOUNTING OF THE SUPERINTENDENT’S PERFORMANCE RELATIVE TO THE ROLE EXPECTATIONS CONTAINED IN HIS JOB DESCRIPTION AND DEFINED IN THE </w:t>
      </w:r>
      <w:r w:rsidDel="00000000" w:rsidR="00000000" w:rsidRPr="00000000">
        <w:rPr>
          <w:i w:val="1"/>
          <w:rtl w:val="0"/>
        </w:rPr>
        <w:t xml:space="preserve">PERFORMANCE ASSESSMENT GUIDE</w:t>
      </w:r>
      <w:r w:rsidDel="00000000" w:rsidR="00000000" w:rsidRPr="00000000">
        <w:rPr>
          <w:rtl w:val="0"/>
        </w:rPr>
        <w:t xml:space="preserv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5.   </w:t>
        <w:tab/>
        <w:t xml:space="preserve">APPOINTMENT OF AUDITORS</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The Secretary-Treasurer will be seeking a Board motion approving the auditors, MNP, to conduct the 2015-2016 audit.</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RECOMMENDATION:  THAT THE BOARD APPROVES THE AUDITING FIRM OF MNP, FOR THE FISCAL YEAR ENDING AUGUST 31, 2015.</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6.</w:t>
        <w:tab/>
        <w:t xml:space="preserve">2016-2017 CALENDAR APPROVAL (E)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The Board has approved the addition of 2 PD days to the 2016-2017 calendar along with the 2015-2016 calendar.  Attached are the 2016-2017 school calendars with the additional 2 PD days.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widowControl w:val="1"/>
        <w:tabs>
          <w:tab w:val="left" w:pos="2340"/>
        </w:tabs>
        <w:ind w:left="720" w:firstLine="0"/>
        <w:contextualSpacing w:val="0"/>
      </w:pPr>
      <w:r w:rsidDel="00000000" w:rsidR="00000000" w:rsidRPr="00000000">
        <w:rPr>
          <w:rtl w:val="0"/>
        </w:rPr>
        <w:t xml:space="preserve">RECOMMENDATION: THAT THE BOARD OF TRUSTEES SUPPORTS THE AMENDED 2016-2017 SCHOOL CALENDAR WITH 2 ADDITIONAL P.D. DAYS.</w:t>
      </w:r>
    </w:p>
    <w:p w:rsidR="00000000" w:rsidDel="00000000" w:rsidP="00000000" w:rsidRDefault="00000000" w:rsidRPr="00000000">
      <w:pPr>
        <w:widowControl w:val="1"/>
        <w:tabs>
          <w:tab w:val="left" w:pos="2340"/>
        </w:tabs>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7.</w:t>
        <w:tab/>
        <w:t xml:space="preserve">ST. FRANCIS TENDER RESULTS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Tenders for the construction of the St. Francis 9 classroom addition were called for on July 23, 2015 and closed on August 13, 2015.  All four of the pre-qualified contractors submitted a bid as well as separate and alternate prices from the following:</w:t>
      </w:r>
    </w:p>
    <w:p w:rsidR="00000000" w:rsidDel="00000000" w:rsidP="00000000" w:rsidRDefault="00000000" w:rsidRPr="00000000">
      <w:pPr>
        <w:ind w:left="720" w:firstLine="0"/>
        <w:contextualSpacing w:val="0"/>
      </w:pPr>
      <w:r w:rsidDel="00000000" w:rsidR="00000000" w:rsidRPr="00000000">
        <w:rPr>
          <w:rtl w:val="0"/>
        </w:rPr>
        <w:t xml:space="preserve">Pearl Rose Construction</w:t>
      </w:r>
    </w:p>
    <w:p w:rsidR="00000000" w:rsidDel="00000000" w:rsidP="00000000" w:rsidRDefault="00000000" w:rsidRPr="00000000">
      <w:pPr>
        <w:ind w:left="720" w:firstLine="0"/>
        <w:contextualSpacing w:val="0"/>
      </w:pPr>
      <w:r w:rsidDel="00000000" w:rsidR="00000000" w:rsidRPr="00000000">
        <w:rPr>
          <w:rtl w:val="0"/>
        </w:rPr>
        <w:t xml:space="preserve">Shunda Consulting and Construction Management Ltd.</w:t>
      </w:r>
    </w:p>
    <w:p w:rsidR="00000000" w:rsidDel="00000000" w:rsidP="00000000" w:rsidRDefault="00000000" w:rsidRPr="00000000">
      <w:pPr>
        <w:ind w:left="720" w:firstLine="0"/>
        <w:contextualSpacing w:val="0"/>
      </w:pPr>
      <w:r w:rsidDel="00000000" w:rsidR="00000000" w:rsidRPr="00000000">
        <w:rPr>
          <w:rtl w:val="0"/>
        </w:rPr>
        <w:t xml:space="preserve">Chandos Construction Ltd.</w:t>
      </w:r>
    </w:p>
    <w:p w:rsidR="00000000" w:rsidDel="00000000" w:rsidP="00000000" w:rsidRDefault="00000000" w:rsidRPr="00000000">
      <w:pPr>
        <w:ind w:left="720" w:firstLine="0"/>
        <w:contextualSpacing w:val="0"/>
      </w:pPr>
      <w:r w:rsidDel="00000000" w:rsidR="00000000" w:rsidRPr="00000000">
        <w:rPr>
          <w:rtl w:val="0"/>
        </w:rPr>
        <w:t xml:space="preserve">Ledcor Construction Ltd.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TRUSTEES APPROVES THE TENDER SUBMITTED BY SHUNDA CONSULTING &amp; CONSTRUCTION MANAGEMENT LTD. IN THE AMOUNT OF $2,587,000 PLUS $116,494 IN ALTERNATE AND SEPARATE PRICING FOR A TOTAL CONTRACT VALUE OF $2,703,494.</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8.</w:t>
        <w:tab/>
        <w:t xml:space="preserve">STAFF APPRECIATION YEARLY BUDGET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The Secretary-Treasurer will ask for input in regards to an annual staff appreciation budget.  Once a budget is established Trustees will be asked for input on expenditures to appreciate staff.</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widowControl w:val="1"/>
        <w:tabs>
          <w:tab w:val="left" w:pos="2340"/>
        </w:tabs>
        <w:ind w:left="720" w:firstLine="0"/>
        <w:contextualSpacing w:val="0"/>
      </w:pPr>
      <w:r w:rsidDel="00000000" w:rsidR="00000000" w:rsidRPr="00000000">
        <w:rPr>
          <w:rtl w:val="0"/>
        </w:rPr>
      </w:r>
    </w:p>
    <w:p w:rsidR="00000000" w:rsidDel="00000000" w:rsidP="00000000" w:rsidRDefault="00000000" w:rsidRPr="00000000">
      <w:pPr>
        <w:tabs>
          <w:tab w:val="left" w:pos="360"/>
        </w:tabs>
        <w:ind w:left="720" w:firstLine="0"/>
        <w:contextualSpacing w:val="0"/>
      </w:pPr>
      <w:r w:rsidDel="00000000" w:rsidR="00000000" w:rsidRPr="00000000">
        <w:rPr>
          <w:rtl w:val="0"/>
        </w:rPr>
        <w:t xml:space="preserve">INFORMATION ITEMS:</w:t>
      </w:r>
    </w:p>
    <w:p w:rsidR="00000000" w:rsidDel="00000000" w:rsidP="00000000" w:rsidRDefault="00000000" w:rsidRPr="00000000">
      <w:pPr>
        <w:tabs>
          <w:tab w:val="left" w:pos="360"/>
        </w:tabs>
        <w:ind w:left="72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firstLine="0"/>
        <w:contextualSpacing w:val="1"/>
        <w:rPr>
          <w:color w:val="000000"/>
          <w:sz w:val="24"/>
          <w:szCs w:val="24"/>
        </w:rPr>
      </w:pPr>
      <w:r w:rsidDel="00000000" w:rsidR="00000000" w:rsidRPr="00000000">
        <w:rPr>
          <w:rFonts w:ascii="Arial" w:cs="Arial" w:eastAsia="Arial" w:hAnsi="Arial"/>
          <w:color w:val="000000"/>
          <w:sz w:val="24"/>
          <w:szCs w:val="24"/>
          <w:rtl w:val="0"/>
        </w:rPr>
        <w:t xml:space="preserve">CAPITAL PROJECTS UPDATE </w:t>
      </w:r>
      <w:r w:rsidDel="00000000" w:rsidR="00000000" w:rsidRPr="00000000">
        <w:rPr>
          <w:rtl w:val="0"/>
        </w:rPr>
      </w:r>
    </w:p>
    <w:p w:rsidR="00000000" w:rsidDel="00000000" w:rsidP="00000000" w:rsidRDefault="00000000" w:rsidRPr="00000000">
      <w:pPr>
        <w:spacing w:after="0" w:before="0" w:line="240" w:lineRule="auto"/>
        <w:ind w:left="720" w:firstLine="720"/>
        <w:contextualSpacing w:val="0"/>
      </w:pPr>
      <w:r w:rsidDel="00000000" w:rsidR="00000000" w:rsidRPr="00000000">
        <w:rPr>
          <w:color w:val="000000"/>
          <w:rtl w:val="0"/>
        </w:rPr>
        <w:t xml:space="preserve">St. Marguerite Bourgeoys School </w:t>
      </w:r>
    </w:p>
    <w:p w:rsidR="00000000" w:rsidDel="00000000" w:rsidP="00000000" w:rsidRDefault="00000000" w:rsidRPr="00000000">
      <w:pPr>
        <w:ind w:left="720" w:firstLine="720"/>
        <w:contextualSpacing w:val="0"/>
      </w:pPr>
      <w:r w:rsidDel="00000000" w:rsidR="00000000" w:rsidRPr="00000000">
        <w:rPr>
          <w:rtl w:val="0"/>
        </w:rPr>
        <w:t xml:space="preserve">St. Gregory the Great Catholic School</w:t>
      </w:r>
    </w:p>
    <w:p w:rsidR="00000000" w:rsidDel="00000000" w:rsidP="00000000" w:rsidRDefault="00000000" w:rsidRPr="00000000">
      <w:pPr>
        <w:ind w:left="720" w:firstLine="720"/>
        <w:contextualSpacing w:val="0"/>
      </w:pPr>
      <w:r w:rsidDel="00000000" w:rsidR="00000000" w:rsidRPr="00000000">
        <w:rPr>
          <w:rtl w:val="0"/>
        </w:rPr>
        <w:t xml:space="preserve">St. Joseph High School</w:t>
      </w:r>
      <w:r w:rsidDel="00000000" w:rsidR="00000000" w:rsidRPr="00000000">
        <w:rPr>
          <w:b w:val="1"/>
          <w:i w:val="1"/>
          <w:rtl w:val="0"/>
        </w:rPr>
        <w:t xml:space="preserve"> </w:t>
      </w:r>
    </w:p>
    <w:p w:rsidR="00000000" w:rsidDel="00000000" w:rsidP="00000000" w:rsidRDefault="00000000" w:rsidRPr="00000000">
      <w:pPr>
        <w:ind w:left="720" w:firstLine="720"/>
        <w:contextualSpacing w:val="0"/>
      </w:pPr>
      <w:r w:rsidDel="00000000" w:rsidR="00000000" w:rsidRPr="00000000">
        <w:rPr>
          <w:rtl w:val="0"/>
        </w:rPr>
        <w:t xml:space="preserve">St. Francis of Assisi Addition</w:t>
      </w:r>
    </w:p>
    <w:p w:rsidR="00000000" w:rsidDel="00000000" w:rsidP="00000000" w:rsidRDefault="00000000" w:rsidRPr="00000000">
      <w:pPr>
        <w:ind w:left="720" w:firstLine="720"/>
        <w:contextualSpacing w:val="0"/>
      </w:pPr>
      <w:r w:rsidDel="00000000" w:rsidR="00000000" w:rsidRPr="00000000">
        <w:rPr>
          <w:rtl w:val="0"/>
        </w:rPr>
        <w:t xml:space="preserve">St. Teresa of Avila Modular Addition</w:t>
      </w:r>
    </w:p>
    <w:p w:rsidR="00000000" w:rsidDel="00000000" w:rsidP="00000000" w:rsidRDefault="00000000" w:rsidRPr="00000000">
      <w:pPr>
        <w:ind w:left="720" w:firstLine="720"/>
        <w:contextualSpacing w:val="0"/>
      </w:pPr>
      <w:r w:rsidDel="00000000" w:rsidR="00000000" w:rsidRPr="00000000">
        <w:rPr>
          <w:rtl w:val="0"/>
        </w:rPr>
        <w:t xml:space="preserve">Holy Trinity Modular Addition</w:t>
      </w:r>
    </w:p>
    <w:p w:rsidR="00000000" w:rsidDel="00000000" w:rsidP="00000000" w:rsidRDefault="00000000" w:rsidRPr="00000000">
      <w:pPr>
        <w:ind w:left="720" w:firstLine="720"/>
        <w:contextualSpacing w:val="0"/>
      </w:pPr>
      <w:r w:rsidDel="00000000" w:rsidR="00000000" w:rsidRPr="00000000">
        <w:rPr>
          <w:rtl w:val="0"/>
        </w:rPr>
        <w:t xml:space="preserve">Fr. Henri Voisin Modular Addition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tabs>
          <w:tab w:val="left" w:pos="360"/>
        </w:tabs>
        <w:spacing w:after="0" w:before="0" w:line="240" w:lineRule="auto"/>
        <w:ind w:left="720" w:firstLine="0"/>
        <w:contextualSpacing w:val="1"/>
        <w:rPr/>
      </w:pPr>
      <w:r w:rsidDel="00000000" w:rsidR="00000000" w:rsidRPr="00000000">
        <w:rPr>
          <w:rFonts w:ascii="Arial" w:cs="Arial" w:eastAsia="Arial" w:hAnsi="Arial"/>
          <w:sz w:val="24"/>
          <w:szCs w:val="24"/>
          <w:rtl w:val="0"/>
        </w:rPr>
        <w:t xml:space="preserve">ASBA UPDATE</w:t>
      </w:r>
      <w:r w:rsidDel="00000000" w:rsidR="00000000" w:rsidRPr="00000000">
        <w:rPr>
          <w:rtl w:val="0"/>
        </w:rPr>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tabs>
          <w:tab w:val="left" w:pos="360"/>
        </w:tabs>
        <w:spacing w:after="0" w:before="0" w:line="240" w:lineRule="auto"/>
        <w:ind w:left="720" w:firstLine="0"/>
        <w:contextualSpacing w:val="1"/>
        <w:rPr/>
      </w:pPr>
      <w:r w:rsidDel="00000000" w:rsidR="00000000" w:rsidRPr="00000000">
        <w:rPr>
          <w:rFonts w:ascii="Arial" w:cs="Arial" w:eastAsia="Arial" w:hAnsi="Arial"/>
          <w:sz w:val="24"/>
          <w:szCs w:val="24"/>
          <w:rtl w:val="0"/>
        </w:rPr>
        <w:t xml:space="preserve">ACSTA UPDATE</w:t>
      </w:r>
      <w:r w:rsidDel="00000000" w:rsidR="00000000" w:rsidRPr="00000000">
        <w:rPr>
          <w:rtl w:val="0"/>
        </w:rPr>
      </w:r>
    </w:p>
    <w:p w:rsidR="00000000" w:rsidDel="00000000" w:rsidP="00000000" w:rsidRDefault="00000000" w:rsidRPr="00000000">
      <w:pPr>
        <w:tabs>
          <w:tab w:val="left" w:pos="360"/>
        </w:tabs>
        <w:ind w:left="720" w:firstLine="0"/>
        <w:contextualSpacing w:val="0"/>
      </w:pPr>
      <w:r w:rsidDel="00000000" w:rsidR="00000000" w:rsidRPr="00000000">
        <w:rPr>
          <w:rtl w:val="0"/>
        </w:rPr>
      </w:r>
    </w:p>
    <w:p w:rsidR="00000000" w:rsidDel="00000000" w:rsidP="00000000" w:rsidRDefault="00000000" w:rsidRPr="00000000">
      <w:pPr>
        <w:numPr>
          <w:ilvl w:val="0"/>
          <w:numId w:val="1"/>
        </w:numPr>
        <w:tabs>
          <w:tab w:val="left" w:pos="360"/>
        </w:tabs>
        <w:spacing w:after="0" w:before="0" w:line="240" w:lineRule="auto"/>
        <w:ind w:left="720" w:firstLine="0"/>
        <w:contextualSpacing w:val="1"/>
        <w:rPr/>
      </w:pPr>
      <w:r w:rsidDel="00000000" w:rsidR="00000000" w:rsidRPr="00000000">
        <w:rPr>
          <w:rFonts w:ascii="Arial" w:cs="Arial" w:eastAsia="Arial" w:hAnsi="Arial"/>
          <w:sz w:val="24"/>
          <w:szCs w:val="24"/>
          <w:rtl w:val="0"/>
        </w:rPr>
        <w:t xml:space="preserve">EDUCATION FOUNDATION</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Arial" w:cs="Arial" w:eastAsia="Arial" w:hAnsi="Arial"/>
          <w:color w:val="000000"/>
          <w:sz w:val="24"/>
          <w:szCs w:val="24"/>
          <w:rtl w:val="0"/>
        </w:rPr>
        <w:t xml:space="preserve">CLOSING PRAYER:  </w:t>
      </w:r>
      <w:r w:rsidDel="00000000" w:rsidR="00000000" w:rsidRPr="00000000">
        <w:rPr>
          <w:rtl w:val="0"/>
        </w:rPr>
        <w:t xml:space="preserve">Anne Marie Watson</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ADJOURNMENT</w:t>
      </w:r>
    </w:p>
    <w:sectPr>
      <w:footerReference r:id="rId5" w:type="default"/>
      <w:pgSz w:h="15840" w:w="12240"/>
      <w:pgMar w:bottom="1440" w:top="1440" w:left="990" w:right="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Arial" w:cs="Arial" w:eastAsia="Arial" w:hAnsi="Arial"/>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decimal"/>
      <w:lvlText w:val="%1."/>
      <w:lvlJc w:val="left"/>
      <w:pPr>
        <w:ind w:left="720" w:firstLine="360"/>
      </w:pPr>
      <w:rPr>
        <w:rFonts w:ascii="Arial" w:cs="Arial" w:eastAsia="Arial" w:hAnsi="Arial"/>
        <w:b w:val="0"/>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